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D3" w:rsidRPr="002636D3" w:rsidRDefault="00971B1D" w:rsidP="002636D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Resin</w:t>
      </w:r>
      <w:r w:rsidR="00EC5B1C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preparation</w:t>
      </w:r>
    </w:p>
    <w:p w:rsidR="00971B1D" w:rsidRDefault="00971B1D" w:rsidP="00971B1D">
      <w:pPr>
        <w:pStyle w:val="NormalWeb"/>
      </w:pPr>
      <w:proofErr w:type="spellStart"/>
      <w:r>
        <w:rPr>
          <w:u w:val="single"/>
        </w:rPr>
        <w:t>Spur</w:t>
      </w:r>
      <w:r>
        <w:rPr>
          <w:u w:val="single"/>
        </w:rPr>
        <w:t>r</w:t>
      </w:r>
      <w:proofErr w:type="spellEnd"/>
    </w:p>
    <w:p w:rsidR="00971B1D" w:rsidRDefault="00971B1D" w:rsidP="00971B1D">
      <w:pPr>
        <w:pStyle w:val="Heading5"/>
      </w:pPr>
      <w:r>
        <w:t>Caution</w:t>
      </w:r>
    </w:p>
    <w:p w:rsidR="00971B1D" w:rsidRDefault="00971B1D" w:rsidP="00971B1D">
      <w:pPr>
        <w:pStyle w:val="NormalWeb"/>
      </w:pPr>
      <w:r>
        <w:t xml:space="preserve">Components of this embedding media, especially </w:t>
      </w:r>
      <w:proofErr w:type="spellStart"/>
      <w:r>
        <w:t>vinylcyclohexene</w:t>
      </w:r>
      <w:proofErr w:type="spellEnd"/>
      <w:r>
        <w:t xml:space="preserve"> dioxide, may be carcinogenic and proper precautions should be employed. The low viscosity of this embedding medium (60 </w:t>
      </w:r>
      <w:proofErr w:type="spellStart"/>
      <w:r>
        <w:t>cps</w:t>
      </w:r>
      <w:proofErr w:type="spellEnd"/>
      <w:r>
        <w:t xml:space="preserve">) provides exceptional penetration quality for embedding of tissues, minerals and other dense structures. It is less viscous than Araldite 502, </w:t>
      </w:r>
      <w:proofErr w:type="spellStart"/>
      <w:r>
        <w:t>Epon</w:t>
      </w:r>
      <w:proofErr w:type="spellEnd"/>
      <w:r>
        <w:t xml:space="preserve"> 812, or </w:t>
      </w:r>
      <w:proofErr w:type="spellStart"/>
      <w:r>
        <w:t>Maraglas</w:t>
      </w:r>
      <w:proofErr w:type="spellEnd"/>
      <w:r>
        <w:t xml:space="preserve"> 655 and has been used successfully with a wide range of both biological and mineral specimens. The </w:t>
      </w:r>
      <w:proofErr w:type="spellStart"/>
      <w:r>
        <w:t>embedments</w:t>
      </w:r>
      <w:proofErr w:type="spellEnd"/>
      <w:r>
        <w:t xml:space="preserve"> are easily sectioned, or may be used to prepare mineral specimens for polishing, or for any type of electronic potting. Endosperm with a high lipid content, tissues with hard lignified walls and highly vacuolated </w:t>
      </w:r>
      <w:proofErr w:type="spellStart"/>
      <w:r>
        <w:t>parenchymatous</w:t>
      </w:r>
      <w:proofErr w:type="spellEnd"/>
      <w:r>
        <w:t xml:space="preserve"> tissues of ripe fruit are a few examples of tissues of which have been embedded.</w:t>
      </w:r>
    </w:p>
    <w:p w:rsidR="00971B1D" w:rsidRDefault="00971B1D" w:rsidP="00971B1D">
      <w:pPr>
        <w:pStyle w:val="Heading5"/>
      </w:pPr>
      <w:r>
        <w:t>Procedure</w:t>
      </w:r>
    </w:p>
    <w:p w:rsidR="00971B1D" w:rsidRDefault="00971B1D" w:rsidP="00971B1D">
      <w:pPr>
        <w:pStyle w:val="NormalWeb"/>
      </w:pPr>
      <w:r>
        <w:t>The embedding medium is prepared by gravimetrically adding the components singly into a flask. The composition which is recommended is as follows:</w:t>
      </w:r>
    </w:p>
    <w:tbl>
      <w:tblPr>
        <w:tblW w:w="7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7"/>
        <w:gridCol w:w="2223"/>
      </w:tblGrid>
      <w:tr w:rsidR="00971B1D" w:rsidTr="00971B1D">
        <w:trPr>
          <w:trHeight w:val="600"/>
          <w:tblCellSpacing w:w="15" w:type="dxa"/>
        </w:trPr>
        <w:tc>
          <w:tcPr>
            <w:tcW w:w="3500" w:type="pct"/>
            <w:vAlign w:val="center"/>
            <w:hideMark/>
          </w:tcPr>
          <w:p w:rsidR="00971B1D" w:rsidRDefault="00971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Ingredients</w:t>
            </w:r>
          </w:p>
        </w:tc>
        <w:tc>
          <w:tcPr>
            <w:tcW w:w="1500" w:type="pct"/>
            <w:vAlign w:val="center"/>
            <w:hideMark/>
          </w:tcPr>
          <w:p w:rsidR="00971B1D" w:rsidRDefault="00971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(g)</w:t>
            </w:r>
          </w:p>
        </w:tc>
      </w:tr>
      <w:tr w:rsid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Default="00971B1D">
            <w:proofErr w:type="spellStart"/>
            <w:r>
              <w:t>Vinylcyclohexene</w:t>
            </w:r>
            <w:proofErr w:type="spellEnd"/>
            <w:r>
              <w:t xml:space="preserve"> dioxide</w:t>
            </w:r>
          </w:p>
        </w:tc>
        <w:tc>
          <w:tcPr>
            <w:tcW w:w="0" w:type="auto"/>
            <w:vAlign w:val="center"/>
            <w:hideMark/>
          </w:tcPr>
          <w:p w:rsidR="00971B1D" w:rsidRDefault="00971B1D">
            <w:r>
              <w:t>10</w:t>
            </w:r>
          </w:p>
        </w:tc>
      </w:tr>
      <w:tr w:rsid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Default="00971B1D">
            <w:proofErr w:type="spellStart"/>
            <w:r>
              <w:t>Diglycidyl</w:t>
            </w:r>
            <w:proofErr w:type="spellEnd"/>
            <w:r>
              <w:t xml:space="preserve"> ether of </w:t>
            </w:r>
            <w:proofErr w:type="spellStart"/>
            <w:r>
              <w:t>Polyproplyeneglycol</w:t>
            </w:r>
            <w:proofErr w:type="spellEnd"/>
            <w:r>
              <w:t xml:space="preserve"> D.E.R. 736</w:t>
            </w:r>
          </w:p>
        </w:tc>
        <w:tc>
          <w:tcPr>
            <w:tcW w:w="0" w:type="auto"/>
            <w:vAlign w:val="center"/>
            <w:hideMark/>
          </w:tcPr>
          <w:p w:rsidR="00971B1D" w:rsidRDefault="00971B1D">
            <w:r>
              <w:t>6.3</w:t>
            </w:r>
          </w:p>
        </w:tc>
      </w:tr>
      <w:tr w:rsid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Default="00971B1D">
            <w:proofErr w:type="spellStart"/>
            <w:r>
              <w:t>Nonenyl</w:t>
            </w:r>
            <w:proofErr w:type="spellEnd"/>
            <w:r>
              <w:t xml:space="preserve"> succinic anhydride</w:t>
            </w:r>
          </w:p>
        </w:tc>
        <w:tc>
          <w:tcPr>
            <w:tcW w:w="0" w:type="auto"/>
            <w:vAlign w:val="center"/>
            <w:hideMark/>
          </w:tcPr>
          <w:p w:rsidR="00971B1D" w:rsidRDefault="00971B1D">
            <w:r>
              <w:t>26</w:t>
            </w:r>
          </w:p>
        </w:tc>
      </w:tr>
      <w:tr w:rsid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Default="00971B1D">
            <w:proofErr w:type="spellStart"/>
            <w:r>
              <w:t>Dimethylaminoethanol</w:t>
            </w:r>
            <w:proofErr w:type="spellEnd"/>
            <w:r>
              <w:t xml:space="preserve"> D.M.A.E.</w:t>
            </w:r>
          </w:p>
        </w:tc>
        <w:tc>
          <w:tcPr>
            <w:tcW w:w="0" w:type="auto"/>
            <w:vAlign w:val="center"/>
            <w:hideMark/>
          </w:tcPr>
          <w:p w:rsidR="00971B1D" w:rsidRDefault="00971B1D">
            <w:r>
              <w:t>0.4</w:t>
            </w:r>
          </w:p>
        </w:tc>
      </w:tr>
    </w:tbl>
    <w:p w:rsidR="00971B1D" w:rsidRDefault="00971B1D" w:rsidP="00971B1D">
      <w:pPr>
        <w:pStyle w:val="NormalWeb"/>
      </w:pPr>
      <w:r>
        <w:t>DO NOT STIR VIGOROUSLY (use stir magnet)</w:t>
      </w:r>
    </w:p>
    <w:p w:rsidR="00971B1D" w:rsidRDefault="00971B1D" w:rsidP="00971B1D">
      <w:pPr>
        <w:pStyle w:val="NormalWeb"/>
      </w:pPr>
      <w:r>
        <w:t xml:space="preserve">Variations in these compositions can be obtained from reference below. Exact weight should be used for optimum performance. It is generally desirable to add the </w:t>
      </w:r>
      <w:proofErr w:type="spellStart"/>
      <w:r>
        <w:t>dimethylaminoethanol</w:t>
      </w:r>
      <w:proofErr w:type="spellEnd"/>
      <w:r>
        <w:t xml:space="preserve"> catalyst last after gentle mixing of the previous components. Should bubbles form, they may be drawn off with a gentle vacuum applied to the mixing container.</w:t>
      </w:r>
    </w:p>
    <w:p w:rsidR="00971B1D" w:rsidRDefault="00971B1D" w:rsidP="00971B1D">
      <w:pPr>
        <w:pStyle w:val="Heading5"/>
      </w:pPr>
      <w:r>
        <w:t>Dehydration</w:t>
      </w:r>
    </w:p>
    <w:p w:rsidR="00971B1D" w:rsidRDefault="00971B1D" w:rsidP="00971B1D">
      <w:pPr>
        <w:pStyle w:val="NormalWeb"/>
      </w:pPr>
      <w:r>
        <w:t xml:space="preserve">Graded series of dehydrating fluids, </w:t>
      </w:r>
      <w:proofErr w:type="spellStart"/>
      <w:r>
        <w:t>ie</w:t>
      </w:r>
      <w:proofErr w:type="spellEnd"/>
      <w:r>
        <w:t>: acetone, alcohol, etc.</w:t>
      </w:r>
    </w:p>
    <w:p w:rsidR="00971B1D" w:rsidRDefault="00971B1D" w:rsidP="00971B1D">
      <w:pPr>
        <w:pStyle w:val="Heading5"/>
      </w:pPr>
      <w:r>
        <w:t>Infiltration and cure</w:t>
      </w:r>
    </w:p>
    <w:p w:rsidR="00971B1D" w:rsidRDefault="00971B1D" w:rsidP="00971B1D">
      <w:pPr>
        <w:pStyle w:val="NormalWeb"/>
      </w:pPr>
      <w:r>
        <w:t xml:space="preserve">The embedding medium may be kept for several months in a deep freeze if protected from dust and atmospheric moisture. Too long a storage delay at ambient conditions may result in partial </w:t>
      </w:r>
      <w:r>
        <w:lastRenderedPageBreak/>
        <w:t>polymerization, which interferes with infiltration because of the viscosity increase. Embedding is preferably done with oven-dry gelatin capsules. Standard cure is 8 or more hours at 70oC in an oven. If the complete embedding medium is over 24 hours old, an hour or two less may be required.</w:t>
      </w:r>
    </w:p>
    <w:p w:rsidR="00971B1D" w:rsidRDefault="00971B1D" w:rsidP="00971B1D">
      <w:pPr>
        <w:pStyle w:val="Heading5"/>
      </w:pPr>
      <w:r>
        <w:t xml:space="preserve">Trimming and polishing of </w:t>
      </w:r>
      <w:proofErr w:type="spellStart"/>
      <w:r>
        <w:t>embedments</w:t>
      </w:r>
      <w:proofErr w:type="spellEnd"/>
    </w:p>
    <w:p w:rsidR="00971B1D" w:rsidRDefault="00971B1D" w:rsidP="00971B1D">
      <w:pPr>
        <w:pStyle w:val="NormalWeb"/>
      </w:pPr>
      <w:r>
        <w:t>The block faces are hydrophobic and are not wetted easily by distilled water during sectioning. The sections are tough under electron beam and can be used without supporting membrane or a 200 mesh grid. No noticeable effect of the electron transmission of the background plastic is observed with electron dense stains.</w:t>
      </w:r>
    </w:p>
    <w:p w:rsidR="00971B1D" w:rsidRDefault="00971B1D" w:rsidP="00971B1D">
      <w:pPr>
        <w:pStyle w:val="Heading5"/>
      </w:pPr>
      <w:r>
        <w:t>References</w:t>
      </w:r>
    </w:p>
    <w:p w:rsidR="00971B1D" w:rsidRDefault="00971B1D" w:rsidP="00971B1D">
      <w:pPr>
        <w:pStyle w:val="NormalWeb"/>
      </w:pPr>
      <w:proofErr w:type="spellStart"/>
      <w:r>
        <w:t>Spurr</w:t>
      </w:r>
      <w:proofErr w:type="spellEnd"/>
      <w:r>
        <w:t xml:space="preserve">, A.R., </w:t>
      </w:r>
      <w:r>
        <w:rPr>
          <w:i/>
          <w:iCs/>
        </w:rPr>
        <w:t>A low-viscosity epoxy resin embedding medium for electron microscopy</w:t>
      </w:r>
      <w:r>
        <w:t xml:space="preserve">, Journal of Ultrastructure Research, </w:t>
      </w:r>
      <w:hyperlink r:id="rId5" w:history="1">
        <w:r>
          <w:rPr>
            <w:rStyle w:val="Hyperlink"/>
          </w:rPr>
          <w:t>26(1-2):31-43 (1969)</w:t>
        </w:r>
      </w:hyperlink>
    </w:p>
    <w:p w:rsidR="00971B1D" w:rsidRPr="00971B1D" w:rsidRDefault="00971B1D" w:rsidP="0097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971B1D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Epon</w:t>
      </w:r>
      <w:proofErr w:type="spellEnd"/>
      <w:r w:rsidRPr="00971B1D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/Araldite mix</w:t>
      </w:r>
    </w:p>
    <w:tbl>
      <w:tblPr>
        <w:tblW w:w="7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2199"/>
        <w:gridCol w:w="2214"/>
      </w:tblGrid>
      <w:tr w:rsidR="00971B1D" w:rsidRPr="00971B1D" w:rsidTr="00971B1D">
        <w:trPr>
          <w:trHeight w:val="600"/>
          <w:tblCellSpacing w:w="15" w:type="dxa"/>
        </w:trPr>
        <w:tc>
          <w:tcPr>
            <w:tcW w:w="2000" w:type="pct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Ingredient</w:t>
            </w:r>
          </w:p>
        </w:tc>
        <w:tc>
          <w:tcPr>
            <w:tcW w:w="1500" w:type="pct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Volume (ml)</w:t>
            </w:r>
          </w:p>
        </w:tc>
        <w:tc>
          <w:tcPr>
            <w:tcW w:w="1500" w:type="pct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Mass (g)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Epon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DDSA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Aral 6005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17.6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DBP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1.9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107.5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DMP-30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 drop per ml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 drops per g</w:t>
            </w:r>
          </w:p>
        </w:tc>
      </w:tr>
    </w:tbl>
    <w:p w:rsidR="00971B1D" w:rsidRPr="00971B1D" w:rsidRDefault="00971B1D" w:rsidP="00971B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1B1D">
        <w:rPr>
          <w:rFonts w:ascii="Times New Roman" w:eastAsia="Times New Roman" w:hAnsi="Times New Roman" w:cs="Times New Roman"/>
          <w:sz w:val="24"/>
          <w:szCs w:val="24"/>
          <w:lang w:eastAsia="en-CA"/>
        </w:rPr>
        <w:t>Mix thoroughly all ingredients (except DMP-30) for about 10 minutes.</w:t>
      </w:r>
    </w:p>
    <w:p w:rsidR="00971B1D" w:rsidRPr="00971B1D" w:rsidRDefault="00971B1D" w:rsidP="00971B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1B1D">
        <w:rPr>
          <w:rFonts w:ascii="Times New Roman" w:eastAsia="Times New Roman" w:hAnsi="Times New Roman" w:cs="Times New Roman"/>
          <w:sz w:val="24"/>
          <w:szCs w:val="24"/>
          <w:lang w:eastAsia="en-CA"/>
        </w:rPr>
        <w:t>Place resin in vacuum for 10 minutes.</w:t>
      </w:r>
    </w:p>
    <w:p w:rsidR="00971B1D" w:rsidRPr="00971B1D" w:rsidRDefault="00971B1D" w:rsidP="00971B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1B1D">
        <w:rPr>
          <w:rFonts w:ascii="Times New Roman" w:eastAsia="Times New Roman" w:hAnsi="Times New Roman" w:cs="Times New Roman"/>
          <w:sz w:val="24"/>
          <w:szCs w:val="24"/>
          <w:lang w:eastAsia="en-CA"/>
        </w:rPr>
        <w:t>Resin can be stored in the freezer in a tightly sealed container. To use the resin, allow it to reach room temperature to avoid condensation.</w:t>
      </w:r>
    </w:p>
    <w:p w:rsidR="00971B1D" w:rsidRPr="00971B1D" w:rsidRDefault="00971B1D" w:rsidP="00971B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1B1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When ready for infiltration and embedding, add DMP-30 to resin and mix thoroughly. Then place in vacuum for 10 minutes. </w:t>
      </w:r>
    </w:p>
    <w:p w:rsidR="00971B1D" w:rsidRPr="00971B1D" w:rsidRDefault="00971B1D" w:rsidP="0097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971B1D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Spurr-Epon</w:t>
      </w:r>
      <w:proofErr w:type="spellEnd"/>
      <w:r w:rsidRPr="00971B1D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 xml:space="preserve"> mix</w:t>
      </w:r>
    </w:p>
    <w:p w:rsidR="00971B1D" w:rsidRPr="00971B1D" w:rsidRDefault="00971B1D" w:rsidP="0097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1B1D">
        <w:rPr>
          <w:rFonts w:ascii="Times New Roman" w:eastAsia="Times New Roman" w:hAnsi="Times New Roman" w:cs="Times New Roman"/>
          <w:sz w:val="24"/>
          <w:szCs w:val="24"/>
          <w:lang w:eastAsia="en-CA"/>
        </w:rPr>
        <w:t>Good for microwave sample preparation.</w:t>
      </w:r>
    </w:p>
    <w:tbl>
      <w:tblPr>
        <w:tblW w:w="7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7"/>
        <w:gridCol w:w="2223"/>
      </w:tblGrid>
      <w:tr w:rsidR="00971B1D" w:rsidRPr="00971B1D" w:rsidTr="00971B1D">
        <w:trPr>
          <w:trHeight w:val="600"/>
          <w:tblCellSpacing w:w="15" w:type="dxa"/>
        </w:trPr>
        <w:tc>
          <w:tcPr>
            <w:tcW w:w="3500" w:type="pct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Ingredients for </w:t>
            </w:r>
            <w:proofErr w:type="spellStart"/>
            <w:r w:rsidRPr="0097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Spurr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Mass (g)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NSA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26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ERL 4206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DER 736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DMAE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0.27 g / 28 drops</w:t>
            </w:r>
          </w:p>
        </w:tc>
      </w:tr>
    </w:tbl>
    <w:p w:rsidR="00971B1D" w:rsidRPr="00971B1D" w:rsidRDefault="00971B1D" w:rsidP="00971B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7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4401"/>
      </w:tblGrid>
      <w:tr w:rsidR="00971B1D" w:rsidRPr="00971B1D" w:rsidTr="00971B1D">
        <w:trPr>
          <w:trHeight w:val="600"/>
          <w:tblCellSpacing w:w="15" w:type="dxa"/>
        </w:trPr>
        <w:tc>
          <w:tcPr>
            <w:tcW w:w="2000" w:type="pct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Ingredients for </w:t>
            </w:r>
            <w:proofErr w:type="spellStart"/>
            <w:r w:rsidRPr="0097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Epon</w:t>
            </w:r>
            <w:proofErr w:type="spellEnd"/>
          </w:p>
        </w:tc>
        <w:tc>
          <w:tcPr>
            <w:tcW w:w="3500" w:type="pct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Mass (g)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Epon</w:t>
            </w:r>
            <w:proofErr w:type="spellEnd"/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812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25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DDSA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NMA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</w:t>
            </w:r>
          </w:p>
        </w:tc>
      </w:tr>
      <w:tr w:rsidR="00971B1D" w:rsidRPr="00971B1D" w:rsidTr="00971B1D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DMP 30</w:t>
            </w:r>
          </w:p>
        </w:tc>
        <w:tc>
          <w:tcPr>
            <w:tcW w:w="0" w:type="auto"/>
            <w:vAlign w:val="center"/>
            <w:hideMark/>
          </w:tcPr>
          <w:p w:rsidR="00971B1D" w:rsidRPr="00971B1D" w:rsidRDefault="00971B1D" w:rsidP="009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71B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0.77 g / 36 drops</w:t>
            </w:r>
          </w:p>
        </w:tc>
      </w:tr>
    </w:tbl>
    <w:p w:rsidR="00971B1D" w:rsidRPr="00971B1D" w:rsidRDefault="00971B1D" w:rsidP="00971B1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1B1D">
        <w:rPr>
          <w:rFonts w:ascii="Times New Roman" w:eastAsia="Times New Roman" w:hAnsi="Times New Roman" w:cs="Times New Roman"/>
          <w:sz w:val="24"/>
          <w:szCs w:val="24"/>
          <w:lang w:eastAsia="en-CA"/>
        </w:rPr>
        <w:t>Mix all the ingredients except the two catalysts (DMA and DMP 30).</w:t>
      </w:r>
    </w:p>
    <w:p w:rsidR="00971B1D" w:rsidRPr="00971B1D" w:rsidRDefault="00971B1D" w:rsidP="00971B1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1B1D">
        <w:rPr>
          <w:rFonts w:ascii="Times New Roman" w:eastAsia="Times New Roman" w:hAnsi="Times New Roman" w:cs="Times New Roman"/>
          <w:sz w:val="24"/>
          <w:szCs w:val="24"/>
          <w:lang w:eastAsia="en-CA"/>
        </w:rPr>
        <w:t>Then add the two catalysts (using a glass pipette measure by drops) and mix thoroughly again.</w:t>
      </w:r>
    </w:p>
    <w:p w:rsidR="00DF6BAE" w:rsidRPr="00EC5B1C" w:rsidRDefault="00DF6BAE" w:rsidP="00EC5B1C">
      <w:pPr>
        <w:spacing w:before="100" w:beforeAutospacing="1" w:after="100" w:afterAutospacing="1" w:line="240" w:lineRule="auto"/>
        <w:rPr>
          <w:b/>
        </w:rPr>
      </w:pPr>
      <w:bookmarkStart w:id="0" w:name="_GoBack"/>
      <w:bookmarkEnd w:id="0"/>
    </w:p>
    <w:sectPr w:rsidR="00DF6BAE" w:rsidRPr="00EC5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460"/>
    <w:multiLevelType w:val="multilevel"/>
    <w:tmpl w:val="FE8A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46090"/>
    <w:multiLevelType w:val="multilevel"/>
    <w:tmpl w:val="7018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B7BD8"/>
    <w:multiLevelType w:val="multilevel"/>
    <w:tmpl w:val="D68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144D6"/>
    <w:multiLevelType w:val="multilevel"/>
    <w:tmpl w:val="F46A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35C6D"/>
    <w:multiLevelType w:val="multilevel"/>
    <w:tmpl w:val="001A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A6323"/>
    <w:multiLevelType w:val="multilevel"/>
    <w:tmpl w:val="01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031A3"/>
    <w:multiLevelType w:val="multilevel"/>
    <w:tmpl w:val="08BA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072D4"/>
    <w:multiLevelType w:val="multilevel"/>
    <w:tmpl w:val="F0CC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F29E9"/>
    <w:multiLevelType w:val="multilevel"/>
    <w:tmpl w:val="2FE8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75F08"/>
    <w:multiLevelType w:val="multilevel"/>
    <w:tmpl w:val="0F46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5517E3"/>
    <w:multiLevelType w:val="multilevel"/>
    <w:tmpl w:val="4EBA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1A46A3"/>
    <w:multiLevelType w:val="multilevel"/>
    <w:tmpl w:val="420C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695F36"/>
    <w:multiLevelType w:val="multilevel"/>
    <w:tmpl w:val="B15E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73288"/>
    <w:multiLevelType w:val="multilevel"/>
    <w:tmpl w:val="8FE6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F500A7"/>
    <w:multiLevelType w:val="multilevel"/>
    <w:tmpl w:val="452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2"/>
  </w:num>
  <w:num w:numId="9">
    <w:abstractNumId w:val="19"/>
  </w:num>
  <w:num w:numId="10">
    <w:abstractNumId w:val="12"/>
  </w:num>
  <w:num w:numId="11">
    <w:abstractNumId w:val="14"/>
  </w:num>
  <w:num w:numId="12">
    <w:abstractNumId w:val="10"/>
  </w:num>
  <w:num w:numId="13">
    <w:abstractNumId w:val="0"/>
  </w:num>
  <w:num w:numId="14">
    <w:abstractNumId w:val="3"/>
  </w:num>
  <w:num w:numId="15">
    <w:abstractNumId w:val="18"/>
  </w:num>
  <w:num w:numId="16">
    <w:abstractNumId w:val="17"/>
  </w:num>
  <w:num w:numId="17">
    <w:abstractNumId w:val="11"/>
  </w:num>
  <w:num w:numId="18">
    <w:abstractNumId w:val="16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2636D3"/>
    <w:rsid w:val="00266403"/>
    <w:rsid w:val="003D3CD2"/>
    <w:rsid w:val="00455745"/>
    <w:rsid w:val="004C122F"/>
    <w:rsid w:val="005C1C24"/>
    <w:rsid w:val="008647D9"/>
    <w:rsid w:val="008B2594"/>
    <w:rsid w:val="0093629D"/>
    <w:rsid w:val="00971B1D"/>
    <w:rsid w:val="00D63524"/>
    <w:rsid w:val="00DF6BAE"/>
    <w:rsid w:val="00E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64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26640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3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S0022-5320%2869%2990033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2</cp:revision>
  <cp:lastPrinted>2016-01-26T00:44:00Z</cp:lastPrinted>
  <dcterms:created xsi:type="dcterms:W3CDTF">2016-01-26T01:35:00Z</dcterms:created>
  <dcterms:modified xsi:type="dcterms:W3CDTF">2016-01-26T01:35:00Z</dcterms:modified>
</cp:coreProperties>
</file>